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624D2" w:rsidRPr="005B03DE" w:rsidTr="00501A8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24D2" w:rsidRPr="005B03DE" w:rsidRDefault="004624D2" w:rsidP="00501A8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624D2" w:rsidRPr="005B03DE" w:rsidRDefault="004624D2" w:rsidP="00501A8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4624D2" w:rsidRPr="005B03DE" w:rsidRDefault="004624D2" w:rsidP="004624D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624D2" w:rsidRPr="005B03DE" w:rsidRDefault="004624D2" w:rsidP="004624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 20-i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624D2" w:rsidRPr="005B03DE" w:rsidTr="00501A86">
        <w:trPr>
          <w:trHeight w:val="1876"/>
        </w:trPr>
        <w:tc>
          <w:tcPr>
            <w:tcW w:w="1339" w:type="dxa"/>
            <w:shd w:val="clear" w:color="auto" w:fill="auto"/>
          </w:tcPr>
          <w:p w:rsidR="004624D2" w:rsidRPr="005B03DE" w:rsidRDefault="004624D2" w:rsidP="00501A8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624D2" w:rsidRDefault="004624D2" w:rsidP="00501A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 (II.18) rendelet</w:t>
            </w:r>
            <w:r>
              <w:rPr>
                <w:rFonts w:ascii="Times New Roman" w:hAnsi="Times New Roman"/>
                <w:sz w:val="24"/>
                <w:szCs w:val="24"/>
              </w:rPr>
              <w:t>e módosítására</w:t>
            </w:r>
            <w:r w:rsidR="008661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B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661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a temetési támogatás megállapításának eljárási szabályaira, </w:t>
            </w:r>
            <w:r w:rsidR="000F4A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illetőleg fellebbezés esetén a méltányossági jogkör feltételeinek </w:t>
            </w:r>
            <w:proofErr w:type="spellStart"/>
            <w:r w:rsidR="000F4A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pontosítására</w:t>
            </w:r>
            <w:proofErr w:type="spellEnd"/>
            <w:r w:rsidR="000F4A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624D2" w:rsidRPr="005B03DE" w:rsidRDefault="004624D2" w:rsidP="00501A86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4624D2" w:rsidRPr="005B03DE" w:rsidRDefault="004624D2" w:rsidP="004624D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624D2" w:rsidRPr="005B03DE" w:rsidRDefault="004624D2" w:rsidP="004624D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Gyuris Gabriella</w:t>
      </w:r>
    </w:p>
    <w:p w:rsidR="004624D2" w:rsidRPr="005B03DE" w:rsidRDefault="004624D2" w:rsidP="004624D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748FE" w:rsidP="004624D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624D2" w:rsidRPr="005B03DE">
        <w:rPr>
          <w:rFonts w:ascii="Times New Roman" w:hAnsi="Times New Roman"/>
          <w:sz w:val="24"/>
          <w:szCs w:val="24"/>
        </w:rPr>
        <w:t>jegyző</w:t>
      </w:r>
      <w:r w:rsidR="004624D2">
        <w:rPr>
          <w:rFonts w:ascii="Times New Roman" w:hAnsi="Times New Roman"/>
          <w:sz w:val="24"/>
          <w:szCs w:val="24"/>
        </w:rPr>
        <w:t xml:space="preserve"> jogkörében eljár</w:t>
      </w:r>
      <w:r>
        <w:rPr>
          <w:rFonts w:ascii="Times New Roman" w:hAnsi="Times New Roman"/>
          <w:sz w:val="24"/>
          <w:szCs w:val="24"/>
        </w:rPr>
        <w:t>va</w:t>
      </w:r>
      <w:r w:rsidR="004624D2">
        <w:rPr>
          <w:rFonts w:ascii="Times New Roman" w:hAnsi="Times New Roman"/>
          <w:sz w:val="24"/>
          <w:szCs w:val="24"/>
        </w:rPr>
        <w:t xml:space="preserve"> </w:t>
      </w:r>
      <w:r w:rsidR="006B2806">
        <w:rPr>
          <w:rFonts w:ascii="Times New Roman" w:hAnsi="Times New Roman"/>
          <w:sz w:val="24"/>
          <w:szCs w:val="24"/>
        </w:rPr>
        <w:t xml:space="preserve">        </w:t>
      </w:r>
      <w:bookmarkStart w:id="1" w:name="_GoBack"/>
      <w:bookmarkEnd w:id="1"/>
      <w:r w:rsidR="006B2806">
        <w:rPr>
          <w:rFonts w:ascii="Times New Roman" w:hAnsi="Times New Roman"/>
          <w:sz w:val="24"/>
          <w:szCs w:val="24"/>
        </w:rPr>
        <w:t xml:space="preserve"> dr. </w:t>
      </w:r>
      <w:r>
        <w:rPr>
          <w:rFonts w:ascii="Times New Roman" w:hAnsi="Times New Roman"/>
          <w:sz w:val="24"/>
          <w:szCs w:val="24"/>
        </w:rPr>
        <w:t xml:space="preserve">Nagy Erika </w:t>
      </w:r>
      <w:r w:rsidR="004624D2">
        <w:rPr>
          <w:rFonts w:ascii="Times New Roman" w:hAnsi="Times New Roman"/>
          <w:sz w:val="24"/>
          <w:szCs w:val="24"/>
        </w:rPr>
        <w:t>aljegyző</w:t>
      </w:r>
    </w:p>
    <w:p w:rsidR="004624D2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8C6" w:rsidRDefault="001D58C6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8C6" w:rsidRDefault="001D58C6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45E8" w:rsidRDefault="00ED45E8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45E8" w:rsidRDefault="00ED45E8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5B03DE" w:rsidRDefault="004624D2" w:rsidP="004624D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4D2" w:rsidRPr="000927A8" w:rsidRDefault="004624D2" w:rsidP="004624D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4624D2" w:rsidRPr="003D628F" w:rsidRDefault="004624D2" w:rsidP="004624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5726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4624D2" w:rsidRDefault="004624D2" w:rsidP="00462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24D2" w:rsidRDefault="004624D2" w:rsidP="000B5E2B">
      <w:pPr>
        <w:spacing w:after="0" w:line="256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4624D2" w:rsidRDefault="004624D2" w:rsidP="000B5E2B">
      <w:pPr>
        <w:spacing w:after="0" w:line="256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4624D2" w:rsidRDefault="004624D2" w:rsidP="000B5E2B">
      <w:pPr>
        <w:spacing w:after="0" w:line="256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4624D2" w:rsidRDefault="004624D2" w:rsidP="000B5E2B">
      <w:pPr>
        <w:spacing w:after="0" w:line="256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0B5E2B" w:rsidRDefault="000B5E2B" w:rsidP="000B5E2B">
      <w:pPr>
        <w:spacing w:after="0" w:line="25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Tisztelt Képviselő-testület!</w:t>
      </w:r>
    </w:p>
    <w:p w:rsidR="000B5E2B" w:rsidRDefault="000B5E2B" w:rsidP="000B5E2B">
      <w:pPr>
        <w:spacing w:after="0" w:line="256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B5E2B" w:rsidRDefault="000B5E2B" w:rsidP="000B5E2B">
      <w:pPr>
        <w:spacing w:after="0" w:line="256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B5E2B" w:rsidRDefault="000B5E2B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Önkormányzata által nyújtott szociális támogatásokra vonatkozó szabályokat 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 (II.18) rendelete (továbbiakban: Rendelet) rögzíti. </w:t>
      </w:r>
    </w:p>
    <w:p w:rsidR="000B5E2B" w:rsidRDefault="00E8187A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rendelkezéseinek alkalmazása során az egyéni ügyekben indult eljárások során szerzett tapasztalatok indokolják a Rendelet egyes szakaszainak </w:t>
      </w:r>
      <w:r w:rsidR="001D6FDB">
        <w:rPr>
          <w:rFonts w:ascii="Times New Roman" w:eastAsiaTheme="minorHAnsi" w:hAnsi="Times New Roman"/>
          <w:sz w:val="24"/>
          <w:szCs w:val="24"/>
          <w:lang w:eastAsia="en-US"/>
        </w:rPr>
        <w:t xml:space="preserve">technikai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módosítását. A</w:t>
      </w:r>
      <w:r w:rsidR="000B5E2B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módosító rendelet nagyobb részben egyes támogatási formák megállapításának eljárási szabályai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tekintetében tesz javaslatot a módosításokra.</w:t>
      </w:r>
    </w:p>
    <w:p w:rsidR="00E8187A" w:rsidRDefault="00E8187A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kisebb módosítások a rendkívüli települési támogatás megállapításának eljárási szabályainak átstrukturálását tartalmazza úgy, hogy a Rendeletben egyértelműen elkülönítésre kerüljenek a Létfenntartási rendkívüli települési támogatás, az Eseti rendkívüli települési támogatás és a Krízishelyzetben nyújtott rendkívüli települési támogatás megálla</w:t>
      </w:r>
      <w:r w:rsidR="001D6FDB">
        <w:rPr>
          <w:rFonts w:ascii="Times New Roman" w:eastAsiaTheme="minorHAnsi" w:hAnsi="Times New Roman"/>
          <w:sz w:val="24"/>
          <w:szCs w:val="24"/>
          <w:lang w:eastAsia="en-US"/>
        </w:rPr>
        <w:t xml:space="preserve">pításának eljárási szabályai, 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támogatás jogosultsági feltételei változatlanul hagyása mellet.</w:t>
      </w:r>
    </w:p>
    <w:p w:rsidR="001D6FDB" w:rsidRDefault="001D6FDB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Szükséges volt kereszthivatkozások beépítése azon támogatási formák esetében, melyek egymással összekapcsolódnak. Például lakásfenntartási támogatás – rezsitámogatás, rendszeres gyermekvédelmi kedvezmény – beiskolázási támogatás. Ezekben az esetekben szabályozni szükséges az</w:t>
      </w:r>
      <w:r w:rsidR="001D58C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is, hogy az ellátáshoz kapcsolódó egyéb ellátás megállapítása az általános közigazgatási rendtartásról szóló 2016. évi CL. tv. alapján az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automatikus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döntéshozatali eljárás vagy hivatalból indított eljárás szabályai szerint állapíthatóak meg. </w:t>
      </w:r>
    </w:p>
    <w:p w:rsidR="000B5E2B" w:rsidRDefault="000B5E2B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módosító rendelet két jelentősebb javaslatot tartalmaz:</w:t>
      </w:r>
    </w:p>
    <w:p w:rsidR="000B5E2B" w:rsidRDefault="000B5E2B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első módosítás</w:t>
      </w:r>
      <w:r w:rsidR="00734BA6">
        <w:rPr>
          <w:rFonts w:ascii="Times New Roman" w:eastAsiaTheme="minorHAnsi" w:hAnsi="Times New Roman"/>
          <w:sz w:val="24"/>
          <w:szCs w:val="24"/>
          <w:lang w:eastAsia="en-US"/>
        </w:rPr>
        <w:t>i javaslat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temetési támogatás</w:t>
      </w:r>
      <w:r w:rsidR="00734BA6">
        <w:rPr>
          <w:rFonts w:ascii="Times New Roman" w:eastAsiaTheme="minorHAnsi" w:hAnsi="Times New Roman"/>
          <w:sz w:val="24"/>
          <w:szCs w:val="24"/>
          <w:lang w:eastAsia="en-US"/>
        </w:rPr>
        <w:t xml:space="preserve"> megállapításának eljárási szabályaira vonatkozik.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jelenleg hatályos rendelet</w:t>
      </w:r>
      <w:r w:rsidR="001D6FDB">
        <w:rPr>
          <w:rFonts w:ascii="Times New Roman" w:eastAsiaTheme="minorHAnsi" w:hAnsi="Times New Roman"/>
          <w:sz w:val="24"/>
          <w:szCs w:val="24"/>
          <w:lang w:eastAsia="en-US"/>
        </w:rPr>
        <w:t xml:space="preserve"> meghatározza, hogy a temetés költségeinek 30 %-ig nyújtható támogatás, ami nem lehet több 171 000,- Ft-ál. Azonban tartalmaz egy kitételt, a temetési számlák végösszegének mértékére vonatkozólag. Emiatt sokan nem tudják igénybe venni a támogatást. Javasoljuk e korlát hatályon kívül helyezését, tekintettel arra, </w:t>
      </w:r>
      <w:r w:rsidR="00790ADA">
        <w:rPr>
          <w:rFonts w:ascii="Times New Roman" w:eastAsiaTheme="minorHAnsi" w:hAnsi="Times New Roman"/>
          <w:sz w:val="24"/>
          <w:szCs w:val="24"/>
          <w:lang w:eastAsia="en-US"/>
        </w:rPr>
        <w:t>hogy az adható támogatás maximális mértéke szabályozva van, emiatt bármilyen összegű számlát is nyújt be a kérelmező, csak a számla 30 %-ig részesülhet támogatásban, ami nem lehet több 171 000,- Ft-nál.</w:t>
      </w:r>
    </w:p>
    <w:p w:rsidR="00734BA6" w:rsidRDefault="00734BA6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második jelentős módosítás az I. fokú határozatok ellen benyújtott fellebbezések és a Képviselő-testület által gyakorolt méltányossági jogkör feltételeinek pontosítását tartalmazza.</w:t>
      </w:r>
    </w:p>
    <w:p w:rsidR="000B5E2B" w:rsidRDefault="00734BA6" w:rsidP="000B5E2B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jelenleg hatályos rendelet a méltányosság gyakorlásának részletszabályait nem tartalmazza kimerítően, valamint nem tartalmazza sem a jogosulatlanul és rosszhiszeműen, a jogosulatlanul, de nem rosszhiszeműen felvett támogatások, sem a köztemetés költségének visszafizetése tekintetében a részletfizetés lehetőségét, amire a Szociális igazgatásról és szociális ellátásokról szóló 1993. évi III. tv.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rendelkezései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is lehetőséget biztosítanak.</w:t>
      </w:r>
      <w:r w:rsidR="00790ADA">
        <w:rPr>
          <w:rFonts w:ascii="Times New Roman" w:eastAsiaTheme="minorHAnsi" w:hAnsi="Times New Roman"/>
          <w:sz w:val="24"/>
          <w:szCs w:val="24"/>
          <w:lang w:eastAsia="en-US"/>
        </w:rPr>
        <w:t xml:space="preserve"> A javasolt módosítás részletes eljárási rendelkezéseket tartalmaz a jogosulatlanul és rosszhiszeműen, </w:t>
      </w:r>
      <w:r w:rsidR="001D58C6">
        <w:rPr>
          <w:rFonts w:ascii="Times New Roman" w:eastAsiaTheme="minorHAnsi" w:hAnsi="Times New Roman"/>
          <w:sz w:val="24"/>
          <w:szCs w:val="24"/>
          <w:lang w:eastAsia="en-US"/>
        </w:rPr>
        <w:t xml:space="preserve">valamint </w:t>
      </w:r>
      <w:r w:rsidR="00790ADA">
        <w:rPr>
          <w:rFonts w:ascii="Times New Roman" w:eastAsiaTheme="minorHAnsi" w:hAnsi="Times New Roman"/>
          <w:sz w:val="24"/>
          <w:szCs w:val="24"/>
          <w:lang w:eastAsia="en-US"/>
        </w:rPr>
        <w:t>a jogosulatlanul, de nem rosszhiszeműen felvett támogatások, és a köztemetés költségének tekintetében benyújtott fellebbezések elbírálási módjára, az adható kedvezményekre vonatkozólag.</w:t>
      </w: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45E8" w:rsidRDefault="00ED45E8" w:rsidP="00ED4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ED45E8" w:rsidRDefault="00ED45E8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D45E8" w:rsidRDefault="00ED45E8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iCs/>
          <w:sz w:val="24"/>
          <w:szCs w:val="24"/>
          <w:lang w:eastAsia="en-US"/>
        </w:rPr>
        <w:t xml:space="preserve">Hatásvizsgálat </w:t>
      </w: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1. A jogszabály társadalmi, gazdasági, költségvetési hatásai</w:t>
      </w:r>
    </w:p>
    <w:p w:rsidR="00D44CD6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Rendelet</w:t>
      </w:r>
      <w:r w:rsidR="00D44CD6">
        <w:rPr>
          <w:rFonts w:ascii="Times New Roman" w:eastAsiaTheme="minorHAnsi" w:hAnsi="Times New Roman" w:cstheme="minorBidi"/>
          <w:sz w:val="24"/>
          <w:szCs w:val="24"/>
          <w:lang w:eastAsia="en-US"/>
        </w:rPr>
        <w:t>módosításnak számottevő társadalmi, gazdasági, költségvetési hatása nincs.</w:t>
      </w: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2. A jogszabály környezeti és egészségi következményei</w:t>
      </w:r>
    </w:p>
    <w:p w:rsidR="000B5E2B" w:rsidRDefault="00D44CD6" w:rsidP="000B5E2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Rendeletmódosításnak </w:t>
      </w:r>
      <w:r w:rsidR="000B5E2B">
        <w:rPr>
          <w:rFonts w:ascii="Times New Roman" w:eastAsiaTheme="minorHAnsi" w:hAnsi="Times New Roman" w:cstheme="minorBidi"/>
          <w:sz w:val="24"/>
          <w:szCs w:val="24"/>
          <w:lang w:eastAsia="en-US"/>
        </w:rPr>
        <w:t>a környezetre vagy az egészségre gyakorolt közvetlen hatása</w:t>
      </w:r>
      <w:r w:rsidRPr="00D44CD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nincs</w:t>
      </w:r>
      <w:r w:rsidR="000B5E2B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3. A jogszabály adminisztratív terheket befolyásoló hatásai</w:t>
      </w:r>
    </w:p>
    <w:p w:rsidR="00D44CD6" w:rsidRDefault="00D44CD6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Rendeletmódosításnak adminisztratív terheket befolyásoló hatása nincs.</w:t>
      </w:r>
    </w:p>
    <w:p w:rsidR="00D44CD6" w:rsidRDefault="00D44CD6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4. A jogszabály megalkotásának szükségessége, a jogalkotás elmaradásának várható következményei</w:t>
      </w:r>
    </w:p>
    <w:p w:rsidR="000B5E2B" w:rsidRDefault="00D44CD6" w:rsidP="000B5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 módosítását indokolja a szociális igazgatási eljárások részletszabályainak módosításának szükségessége, melyek objektívebb és megalapozottabb döntés</w:t>
      </w:r>
      <w:r w:rsidR="001D58C6">
        <w:rPr>
          <w:rFonts w:ascii="Times New Roman" w:eastAsia="Calibri" w:hAnsi="Times New Roman" w:cstheme="minorBidi"/>
          <w:sz w:val="24"/>
          <w:szCs w:val="24"/>
          <w:lang w:eastAsia="en-US"/>
        </w:rPr>
        <w:t>-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előkészítést tesznek lehetővé.</w:t>
      </w: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E2B" w:rsidRDefault="000B5E2B" w:rsidP="000B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5. A jogszabály alkalmazásához szükséges személyi, szervezeti, tárgyi és pénzügyi feltételek</w:t>
      </w:r>
    </w:p>
    <w:p w:rsidR="000B5E2B" w:rsidRDefault="000B5E2B" w:rsidP="00087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 rendeletmódosítás előreláthatólag többlet pénzügyi forrást nem igényel</w:t>
      </w:r>
      <w:r w:rsidR="001D58C6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, a szükséges személyi, szervezeti és tárgyi feltételek rendelkezésre állnak. </w:t>
      </w: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Kérem a Tisztelt Képviselő-testületet az előterjesztés megtárgyalására és a rendelettervezet elfogadására.</w:t>
      </w: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B5E2B" w:rsidRDefault="000B5E2B" w:rsidP="000B5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B5E2B" w:rsidRDefault="000B5E2B" w:rsidP="000B5E2B">
      <w:pPr>
        <w:spacing w:after="0" w:line="256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</w:t>
      </w:r>
      <w:r w:rsidR="00D44CD6">
        <w:rPr>
          <w:rFonts w:ascii="Times New Roman" w:eastAsiaTheme="minorHAnsi" w:hAnsi="Times New Roman" w:cstheme="minorBidi"/>
          <w:sz w:val="24"/>
          <w:szCs w:val="24"/>
          <w:lang w:eastAsia="en-US"/>
        </w:rPr>
        <w:t>2023. augusztus 29.</w:t>
      </w:r>
    </w:p>
    <w:p w:rsidR="000B5E2B" w:rsidRDefault="000B5E2B" w:rsidP="000B5E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E2B" w:rsidRDefault="000B5E2B" w:rsidP="000B5E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E2B" w:rsidRDefault="000B5E2B" w:rsidP="000B5E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Niedermüller Péter</w:t>
      </w:r>
    </w:p>
    <w:p w:rsidR="000B5E2B" w:rsidRDefault="000B5E2B" w:rsidP="000B5E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polgármester</w:t>
      </w:r>
      <w:proofErr w:type="gramEnd"/>
    </w:p>
    <w:p w:rsidR="000B5E2B" w:rsidRDefault="000B5E2B" w:rsidP="000B5E2B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B5E2B" w:rsidRDefault="000B5E2B" w:rsidP="000B5E2B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B5E2B" w:rsidRDefault="000B5E2B" w:rsidP="000B5E2B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B5E2B" w:rsidRDefault="000B5E2B" w:rsidP="000B5E2B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 xml:space="preserve">Melléklet: </w:t>
      </w:r>
    </w:p>
    <w:p w:rsidR="000B5E2B" w:rsidRDefault="000B5E2B" w:rsidP="000B5E2B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A87E03" w:rsidRPr="00790ADA" w:rsidRDefault="000B5E2B" w:rsidP="00790AD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- Rendelettervezet</w:t>
      </w:r>
      <w:r w:rsidR="001D45A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0F261F">
        <w:rPr>
          <w:rFonts w:ascii="Times New Roman" w:eastAsiaTheme="minorHAnsi" w:hAnsi="Times New Roman"/>
          <w:sz w:val="24"/>
          <w:szCs w:val="24"/>
          <w:lang w:eastAsia="en-US"/>
        </w:rPr>
        <w:t xml:space="preserve">a szociális támogatások és szociális szolgáltatások, valamint a pénzbeli, természetbeni és személyes gondoskodást nyújtó gyermekjóléti ellátások igénybevételének helyi szabályozásáról szóló 6/2016 (II.18) rendelet módosítására </w:t>
      </w:r>
    </w:p>
    <w:sectPr w:rsidR="00A87E03" w:rsidRPr="00790ADA" w:rsidSect="00ED45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2B"/>
    <w:rsid w:val="0008773C"/>
    <w:rsid w:val="000A6B7E"/>
    <w:rsid w:val="000B5E2B"/>
    <w:rsid w:val="000F261F"/>
    <w:rsid w:val="000F4AA1"/>
    <w:rsid w:val="001D45AF"/>
    <w:rsid w:val="001D58C6"/>
    <w:rsid w:val="001D6FDB"/>
    <w:rsid w:val="00397B7D"/>
    <w:rsid w:val="004624D2"/>
    <w:rsid w:val="004748FE"/>
    <w:rsid w:val="006B2806"/>
    <w:rsid w:val="00734BA6"/>
    <w:rsid w:val="00790ADA"/>
    <w:rsid w:val="00866157"/>
    <w:rsid w:val="00A87E03"/>
    <w:rsid w:val="00D44CD6"/>
    <w:rsid w:val="00E8187A"/>
    <w:rsid w:val="00ED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F5EC"/>
  <w15:chartTrackingRefBased/>
  <w15:docId w15:val="{0F3C2B2D-EEB0-4799-AC06-DD3055A7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5E2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8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773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5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807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Bodzsár Tímea</cp:lastModifiedBy>
  <cp:revision>14</cp:revision>
  <dcterms:created xsi:type="dcterms:W3CDTF">2023-08-28T14:53:00Z</dcterms:created>
  <dcterms:modified xsi:type="dcterms:W3CDTF">2023-09-13T06:39:00Z</dcterms:modified>
</cp:coreProperties>
</file>