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436E6">
        <w:rPr>
          <w:rFonts w:ascii="Times New Roman" w:hAnsi="Times New Roman"/>
          <w:b/>
          <w:bCs/>
          <w:sz w:val="24"/>
          <w:szCs w:val="24"/>
        </w:rPr>
        <w:t>2023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436E6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E338B8">
        <w:rPr>
          <w:rFonts w:ascii="Times New Roman" w:hAnsi="Times New Roman"/>
          <w:sz w:val="24"/>
          <w:szCs w:val="24"/>
        </w:rPr>
        <w:t>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E338B8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338B8">
        <w:rPr>
          <w:rFonts w:ascii="Times New Roman" w:hAnsi="Times New Roman"/>
          <w:sz w:val="24"/>
          <w:szCs w:val="24"/>
        </w:rPr>
        <w:t>15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4436E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4436E6">
        <w:rPr>
          <w:rFonts w:ascii="Times New Roman" w:hAnsi="Times New Roman"/>
          <w:sz w:val="24"/>
          <w:szCs w:val="24"/>
        </w:rPr>
        <w:t>2023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4436E6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15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EC002E">
        <w:rPr>
          <w:rFonts w:ascii="Times New Roman" w:hAnsi="Times New Roman"/>
          <w:sz w:val="24"/>
          <w:szCs w:val="24"/>
          <w:lang w:val="x-none"/>
        </w:rPr>
        <w:t xml:space="preserve"> 1. § </w:t>
      </w:r>
      <w:r w:rsidR="00EC002E">
        <w:rPr>
          <w:rFonts w:ascii="Times New Roman" w:hAnsi="Times New Roman"/>
          <w:sz w:val="24"/>
          <w:szCs w:val="24"/>
        </w:rPr>
        <w:t>(1) bekezdés</w:t>
      </w:r>
      <w:r w:rsidR="008B25EF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 xml:space="preserve">helyébe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1C11" w:rsidRDefault="00101C1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351DA8">
        <w:rPr>
          <w:rFonts w:ascii="Times New Roman" w:hAnsi="Times New Roman"/>
          <w:b/>
          <w:sz w:val="24"/>
          <w:szCs w:val="24"/>
        </w:rPr>
        <w:t>„1.§</w:t>
      </w:r>
    </w:p>
    <w:p w:rsidR="006453A6" w:rsidRPr="00351DA8" w:rsidRDefault="006453A6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10FC" w:rsidRPr="00B64A51" w:rsidRDefault="008610FC" w:rsidP="008610FC">
      <w:pPr>
        <w:widowControl w:val="0"/>
        <w:spacing w:after="0"/>
        <w:ind w:left="285"/>
        <w:jc w:val="both"/>
        <w:rPr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4436E6">
        <w:rPr>
          <w:rFonts w:ascii="Times New Roman" w:hAnsi="Times New Roman"/>
          <w:i/>
          <w:sz w:val="24"/>
          <w:szCs w:val="24"/>
        </w:rPr>
        <w:t>2023</w:t>
      </w:r>
      <w:r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311A39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328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666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C26D67"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311A39"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311A39">
        <w:rPr>
          <w:rFonts w:ascii="Times New Roman" w:hAnsi="Times New Roman"/>
          <w:i/>
          <w:sz w:val="24"/>
          <w:szCs w:val="24"/>
        </w:rPr>
        <w:t>huszonnyolc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311A39">
        <w:rPr>
          <w:rFonts w:ascii="Times New Roman" w:hAnsi="Times New Roman"/>
          <w:i/>
          <w:sz w:val="24"/>
          <w:szCs w:val="24"/>
        </w:rPr>
        <w:t>hatszázhatvanhat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való visszavonása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  <w:t xml:space="preserve">  8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.674.032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nyolcmillió-hatszázhetvennégyezer-harminckettő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összegét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  <w:t xml:space="preserve">       1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561.487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C26D67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egymillió-ötszázhatvanegy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nyolcvanhét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4436E6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4436E6">
        <w:rPr>
          <w:rFonts w:ascii="Times New Roman" w:hAnsi="Times New Roman"/>
          <w:i/>
          <w:sz w:val="24"/>
          <w:szCs w:val="24"/>
        </w:rPr>
        <w:t>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731BC7">
        <w:rPr>
          <w:rFonts w:ascii="Times New Roman" w:hAnsi="Times New Roman"/>
          <w:b/>
          <w:i/>
          <w:sz w:val="24"/>
          <w:szCs w:val="24"/>
        </w:rPr>
        <w:tab/>
        <w:t>35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731BC7">
        <w:rPr>
          <w:rFonts w:ascii="Times New Roman" w:hAnsi="Times New Roman"/>
          <w:b/>
          <w:i/>
          <w:sz w:val="24"/>
          <w:szCs w:val="24"/>
        </w:rPr>
        <w:t>462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731BC7">
        <w:rPr>
          <w:rFonts w:ascii="Times New Roman" w:hAnsi="Times New Roman"/>
          <w:b/>
          <w:i/>
          <w:sz w:val="24"/>
          <w:szCs w:val="24"/>
        </w:rPr>
        <w:t>043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harmincöt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731BC7"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731BC7">
        <w:rPr>
          <w:rFonts w:ascii="Times New Roman" w:hAnsi="Times New Roman"/>
          <w:i/>
          <w:sz w:val="24"/>
          <w:szCs w:val="24"/>
        </w:rPr>
        <w:t>hatvankettő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731BC7">
        <w:rPr>
          <w:rFonts w:ascii="Times New Roman" w:hAnsi="Times New Roman"/>
          <w:i/>
          <w:sz w:val="24"/>
          <w:szCs w:val="24"/>
        </w:rPr>
        <w:t>negyvenhárom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e)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311A39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11A39">
        <w:rPr>
          <w:rFonts w:ascii="Times New Roman" w:hAnsi="Times New Roman"/>
          <w:b/>
          <w:i/>
          <w:sz w:val="24"/>
          <w:szCs w:val="24"/>
        </w:rPr>
        <w:t>417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11A39">
        <w:rPr>
          <w:rFonts w:ascii="Times New Roman" w:hAnsi="Times New Roman"/>
          <w:b/>
          <w:i/>
          <w:sz w:val="24"/>
          <w:szCs w:val="24"/>
        </w:rPr>
        <w:t>329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311A39">
        <w:rPr>
          <w:rFonts w:ascii="Times New Roman" w:hAnsi="Times New Roman"/>
          <w:i/>
          <w:sz w:val="24"/>
          <w:szCs w:val="24"/>
        </w:rPr>
        <w:t>négy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</w:t>
      </w:r>
      <w:r w:rsidR="00311A39">
        <w:rPr>
          <w:rFonts w:ascii="Times New Roman" w:hAnsi="Times New Roman"/>
          <w:i/>
          <w:sz w:val="24"/>
          <w:szCs w:val="24"/>
        </w:rPr>
        <w:t>tizenhét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311A39"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311A39">
        <w:rPr>
          <w:rFonts w:ascii="Times New Roman" w:hAnsi="Times New Roman"/>
          <w:i/>
          <w:sz w:val="24"/>
          <w:szCs w:val="24"/>
        </w:rPr>
        <w:t>huszonkilenc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11A39" w:rsidRPr="004436E6" w:rsidRDefault="004436E6" w:rsidP="00311A3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eb)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="00C26D67">
        <w:rPr>
          <w:rFonts w:ascii="Times New Roman" w:hAnsi="Times New Roman"/>
          <w:b/>
          <w:i/>
          <w:sz w:val="24"/>
          <w:szCs w:val="24"/>
        </w:rPr>
        <w:t xml:space="preserve">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311A39">
        <w:rPr>
          <w:rFonts w:ascii="Times New Roman" w:hAnsi="Times New Roman"/>
          <w:b/>
          <w:i/>
          <w:sz w:val="24"/>
          <w:szCs w:val="24"/>
        </w:rPr>
        <w:t>9</w:t>
      </w:r>
      <w:r w:rsidR="00311A39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11A39">
        <w:rPr>
          <w:rFonts w:ascii="Times New Roman" w:hAnsi="Times New Roman"/>
          <w:b/>
          <w:i/>
          <w:sz w:val="24"/>
          <w:szCs w:val="24"/>
        </w:rPr>
        <w:t>417</w:t>
      </w:r>
      <w:r w:rsidR="00311A39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11A39">
        <w:rPr>
          <w:rFonts w:ascii="Times New Roman" w:hAnsi="Times New Roman"/>
          <w:b/>
          <w:i/>
          <w:sz w:val="24"/>
          <w:szCs w:val="24"/>
        </w:rPr>
        <w:t>329</w:t>
      </w:r>
      <w:r w:rsidR="00311A39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311A39" w:rsidRPr="004436E6">
        <w:rPr>
          <w:rFonts w:ascii="Times New Roman" w:hAnsi="Times New Roman"/>
          <w:i/>
          <w:sz w:val="24"/>
          <w:szCs w:val="24"/>
        </w:rPr>
        <w:t>azaz</w:t>
      </w:r>
    </w:p>
    <w:p w:rsidR="00311A39" w:rsidRPr="004436E6" w:rsidRDefault="00311A39" w:rsidP="00311A39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négy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záztizenhét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huszonkilenc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311A3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311A39">
        <w:rPr>
          <w:rFonts w:ascii="Times New Roman" w:hAnsi="Times New Roman"/>
          <w:b/>
          <w:i/>
          <w:sz w:val="24"/>
          <w:szCs w:val="24"/>
        </w:rPr>
        <w:t>936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11A39">
        <w:rPr>
          <w:rFonts w:ascii="Times New Roman" w:hAnsi="Times New Roman"/>
          <w:b/>
          <w:i/>
          <w:sz w:val="24"/>
          <w:szCs w:val="24"/>
        </w:rPr>
        <w:t>162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311A39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harminchat</w:t>
      </w:r>
      <w:r w:rsidR="00350E8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egy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hatvankettő</w:t>
      </w:r>
      <w:proofErr w:type="gramEnd"/>
      <w:r w:rsidR="00350E8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CD77D8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1.038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304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CD77D8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egymillió-harmincnyolc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négy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>) a bevételi előirányzatok főösszegét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B25B7C">
        <w:rPr>
          <w:rFonts w:ascii="Times New Roman" w:hAnsi="Times New Roman"/>
          <w:b/>
          <w:i/>
          <w:sz w:val="24"/>
          <w:szCs w:val="24"/>
        </w:rPr>
        <w:t xml:space="preserve"> 45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B25B7C">
        <w:rPr>
          <w:rFonts w:ascii="Times New Roman" w:hAnsi="Times New Roman"/>
          <w:b/>
          <w:i/>
          <w:sz w:val="24"/>
          <w:szCs w:val="24"/>
        </w:rPr>
        <w:t>917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B25B7C">
        <w:rPr>
          <w:rFonts w:ascii="Times New Roman" w:hAnsi="Times New Roman"/>
          <w:b/>
          <w:i/>
          <w:sz w:val="24"/>
          <w:szCs w:val="24"/>
        </w:rPr>
        <w:t>676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</w:t>
      </w:r>
      <w:r w:rsidR="00B25B7C">
        <w:rPr>
          <w:rFonts w:ascii="Times New Roman" w:hAnsi="Times New Roman"/>
          <w:i/>
          <w:sz w:val="24"/>
          <w:szCs w:val="24"/>
        </w:rPr>
        <w:t>öt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kilencs</w:t>
      </w:r>
      <w:r w:rsidR="004436E6" w:rsidRPr="004436E6">
        <w:rPr>
          <w:rFonts w:ascii="Times New Roman" w:hAnsi="Times New Roman"/>
          <w:i/>
          <w:sz w:val="24"/>
          <w:szCs w:val="24"/>
        </w:rPr>
        <w:t>záz</w:t>
      </w:r>
      <w:r w:rsidR="00B25B7C">
        <w:rPr>
          <w:rFonts w:ascii="Times New Roman" w:hAnsi="Times New Roman"/>
          <w:i/>
          <w:sz w:val="24"/>
          <w:szCs w:val="24"/>
        </w:rPr>
        <w:t>tizenhét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B25B7C">
        <w:rPr>
          <w:rFonts w:ascii="Times New Roman" w:hAnsi="Times New Roman"/>
          <w:i/>
          <w:sz w:val="24"/>
          <w:szCs w:val="24"/>
        </w:rPr>
        <w:t>hat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B25B7C">
        <w:rPr>
          <w:rFonts w:ascii="Times New Roman" w:hAnsi="Times New Roman"/>
          <w:i/>
          <w:sz w:val="24"/>
          <w:szCs w:val="24"/>
        </w:rPr>
        <w:t>hetvenhat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B25B7C" w:rsidRPr="004436E6" w:rsidRDefault="00350E86" w:rsidP="00B25B7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gram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25B7C">
        <w:rPr>
          <w:rFonts w:ascii="Times New Roman" w:hAnsi="Times New Roman"/>
          <w:b/>
          <w:i/>
          <w:sz w:val="24"/>
          <w:szCs w:val="24"/>
        </w:rPr>
        <w:t>45</w:t>
      </w:r>
      <w:r w:rsidR="00B25B7C" w:rsidRPr="004436E6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B25B7C">
        <w:rPr>
          <w:rFonts w:ascii="Times New Roman" w:hAnsi="Times New Roman"/>
          <w:b/>
          <w:i/>
          <w:sz w:val="24"/>
          <w:szCs w:val="24"/>
        </w:rPr>
        <w:t>917</w:t>
      </w:r>
      <w:r w:rsidR="00B25B7C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B25B7C">
        <w:rPr>
          <w:rFonts w:ascii="Times New Roman" w:hAnsi="Times New Roman"/>
          <w:b/>
          <w:i/>
          <w:sz w:val="24"/>
          <w:szCs w:val="24"/>
        </w:rPr>
        <w:t>676</w:t>
      </w:r>
      <w:r w:rsidR="00B25B7C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B25B7C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C26D67" w:rsidRPr="004436E6" w:rsidRDefault="00B25B7C" w:rsidP="00B25B7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negyvenöt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kilencs</w:t>
      </w:r>
      <w:r w:rsidRPr="004436E6">
        <w:rPr>
          <w:rFonts w:ascii="Times New Roman" w:hAnsi="Times New Roman"/>
          <w:i/>
          <w:sz w:val="24"/>
          <w:szCs w:val="24"/>
        </w:rPr>
        <w:t>záz</w:t>
      </w:r>
      <w:r>
        <w:rPr>
          <w:rFonts w:ascii="Times New Roman" w:hAnsi="Times New Roman"/>
          <w:i/>
          <w:sz w:val="24"/>
          <w:szCs w:val="24"/>
        </w:rPr>
        <w:t>tizenhét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hetvenhat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705182" w:rsidRPr="00EC002E" w:rsidRDefault="004436E6" w:rsidP="00EC002E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meg.</w:t>
      </w:r>
      <w:r w:rsidR="00946AC5" w:rsidRPr="00644689">
        <w:rPr>
          <w:rFonts w:ascii="Times New Roman" w:hAnsi="Times New Roman"/>
          <w:i/>
          <w:sz w:val="24"/>
          <w:szCs w:val="24"/>
        </w:rPr>
        <w:t>”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61E" w:rsidRPr="00C4061E" w:rsidRDefault="00C4061E" w:rsidP="000E1DC2">
      <w:pPr>
        <w:pStyle w:val="Listaszerbekezds"/>
        <w:widowControl w:val="0"/>
        <w:numPr>
          <w:ilvl w:val="0"/>
          <w:numId w:val="3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061E">
        <w:rPr>
          <w:rFonts w:ascii="Times New Roman" w:hAnsi="Times New Roman"/>
          <w:sz w:val="24"/>
          <w:szCs w:val="24"/>
          <w:lang w:val="x-none"/>
        </w:rPr>
        <w:t>Az 1. §</w:t>
      </w:r>
      <w:r w:rsidRPr="00C4061E">
        <w:rPr>
          <w:rFonts w:ascii="Times New Roman" w:hAnsi="Times New Roman"/>
          <w:sz w:val="24"/>
          <w:szCs w:val="24"/>
        </w:rPr>
        <w:t xml:space="preserve"> (2) bekezdésében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C4061E">
        <w:rPr>
          <w:rFonts w:ascii="Times New Roman" w:hAnsi="Times New Roman"/>
          <w:sz w:val="24"/>
          <w:szCs w:val="24"/>
        </w:rPr>
        <w:t xml:space="preserve">kiemelt 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előirányzatok a Magyarország 2023. évi központi költségvetéséről szóló </w:t>
      </w:r>
      <w:r w:rsidRPr="00C4061E">
        <w:rPr>
          <w:rFonts w:ascii="Times New Roman" w:hAnsi="Times New Roman"/>
          <w:sz w:val="24"/>
          <w:szCs w:val="24"/>
        </w:rPr>
        <w:t xml:space="preserve">2022. évi XXV. </w:t>
      </w:r>
      <w:r w:rsidRPr="00C4061E">
        <w:rPr>
          <w:rFonts w:ascii="Times New Roman" w:hAnsi="Times New Roman"/>
          <w:sz w:val="24"/>
          <w:szCs w:val="24"/>
          <w:lang w:val="x-none"/>
        </w:rPr>
        <w:t>törvény</w:t>
      </w:r>
      <w:r w:rsidRPr="00C4061E">
        <w:rPr>
          <w:rFonts w:ascii="Times New Roman" w:hAnsi="Times New Roman"/>
          <w:sz w:val="24"/>
          <w:szCs w:val="24"/>
        </w:rPr>
        <w:t xml:space="preserve"> </w:t>
      </w:r>
      <w:r w:rsidRPr="00C4061E">
        <w:rPr>
          <w:rFonts w:ascii="Times New Roman" w:hAnsi="Times New Roman"/>
          <w:sz w:val="24"/>
          <w:szCs w:val="24"/>
          <w:lang w:val="x-none"/>
        </w:rPr>
        <w:t>(továbbiakban</w:t>
      </w:r>
      <w:r w:rsidRPr="00C4061E">
        <w:rPr>
          <w:rFonts w:ascii="Times New Roman" w:hAnsi="Times New Roman"/>
          <w:sz w:val="24"/>
          <w:szCs w:val="24"/>
        </w:rPr>
        <w:t>: költségvetési törvény</w:t>
      </w:r>
      <w:r w:rsidRPr="00C4061E">
        <w:rPr>
          <w:rFonts w:ascii="Times New Roman" w:hAnsi="Times New Roman"/>
          <w:sz w:val="24"/>
          <w:szCs w:val="24"/>
          <w:lang w:val="x-none"/>
        </w:rPr>
        <w:t>)</w:t>
      </w:r>
      <w:r w:rsidRPr="00C4061E">
        <w:rPr>
          <w:rFonts w:ascii="Times New Roman" w:hAnsi="Times New Roman"/>
          <w:sz w:val="24"/>
          <w:szCs w:val="24"/>
        </w:rPr>
        <w:t xml:space="preserve"> 2. számú mellékletében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C4061E">
        <w:rPr>
          <w:rFonts w:ascii="Times New Roman" w:hAnsi="Times New Roman"/>
          <w:sz w:val="24"/>
          <w:szCs w:val="24"/>
        </w:rPr>
        <w:t>,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C4061E" w:rsidRPr="00A01DAA" w:rsidRDefault="00C4061E" w:rsidP="00C4061E">
      <w:pPr>
        <w:widowControl w:val="0"/>
        <w:tabs>
          <w:tab w:val="left" w:pos="1845"/>
          <w:tab w:val="left" w:pos="4320"/>
        </w:tabs>
        <w:spacing w:after="0" w:line="240" w:lineRule="auto"/>
        <w:jc w:val="both"/>
      </w:pPr>
    </w:p>
    <w:p w:rsidR="00C4061E" w:rsidRPr="00A01DAA" w:rsidRDefault="00402C5F" w:rsidP="00402C5F">
      <w:pPr>
        <w:widowControl w:val="0"/>
        <w:tabs>
          <w:tab w:val="left" w:pos="1418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Települési önkormányzatok egyes köznevelési </w:t>
      </w:r>
    </w:p>
    <w:p w:rsidR="00C4061E" w:rsidRDefault="00402C5F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</w:r>
      <w:r w:rsidR="00B47E5D">
        <w:rPr>
          <w:rFonts w:ascii="Times New Roman" w:hAnsi="Times New Roman"/>
          <w:i/>
          <w:sz w:val="24"/>
          <w:szCs w:val="24"/>
        </w:rPr>
        <w:t>780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619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740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411A94" w:rsidRPr="00A01DAA" w:rsidRDefault="00411A94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C4061E" w:rsidRPr="00A01DAA" w:rsidRDefault="00C4061E" w:rsidP="00402C5F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B47E5D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B47E5D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B47E5D">
        <w:rPr>
          <w:rFonts w:ascii="Times New Roman" w:hAnsi="Times New Roman"/>
          <w:i/>
          <w:sz w:val="24"/>
          <w:szCs w:val="24"/>
        </w:rPr>
        <w:tab/>
        <w:t>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103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974</w:t>
      </w:r>
      <w:r w:rsidR="001759FD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898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C4061E" w:rsidRPr="00A01DAA" w:rsidRDefault="00C4061E" w:rsidP="00402C5F">
      <w:pPr>
        <w:pStyle w:val="Listaszerbekezds"/>
        <w:widowControl w:val="0"/>
        <w:tabs>
          <w:tab w:val="left" w:pos="1418"/>
          <w:tab w:val="right" w:pos="9072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</w:t>
      </w:r>
      <w:r w:rsidR="00402C5F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402C5F">
        <w:rPr>
          <w:rFonts w:ascii="Times New Roman" w:hAnsi="Times New Roman"/>
          <w:i/>
          <w:sz w:val="24"/>
          <w:szCs w:val="24"/>
        </w:rPr>
        <w:t xml:space="preserve"> támogatása</w:t>
      </w:r>
      <w:r w:rsidR="00402C5F">
        <w:rPr>
          <w:rFonts w:ascii="Times New Roman" w:hAnsi="Times New Roman"/>
          <w:i/>
          <w:sz w:val="24"/>
          <w:szCs w:val="24"/>
        </w:rPr>
        <w:tab/>
      </w:r>
      <w:r w:rsidR="00B47E5D">
        <w:rPr>
          <w:rFonts w:ascii="Times New Roman" w:hAnsi="Times New Roman"/>
          <w:i/>
          <w:sz w:val="24"/>
          <w:szCs w:val="24"/>
        </w:rPr>
        <w:t>272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282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47E5D">
        <w:rPr>
          <w:rFonts w:ascii="Times New Roman" w:hAnsi="Times New Roman"/>
          <w:i/>
          <w:sz w:val="24"/>
          <w:szCs w:val="24"/>
        </w:rPr>
        <w:t>865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C4061E" w:rsidRPr="00A01DAA" w:rsidRDefault="00B47E5D" w:rsidP="00402C5F">
      <w:pPr>
        <w:pStyle w:val="Listaszerbekezds"/>
        <w:widowControl w:val="0"/>
        <w:tabs>
          <w:tab w:val="left" w:pos="1560"/>
          <w:tab w:val="right" w:pos="9214"/>
        </w:tabs>
        <w:spacing w:after="0" w:line="240" w:lineRule="auto"/>
        <w:ind w:left="1560" w:right="91" w:hanging="14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55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908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592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C4061E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61E" w:rsidRPr="00A01DAA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CF7" w:rsidRPr="00C4061E" w:rsidRDefault="00C4061E" w:rsidP="000E1DC2">
      <w:pPr>
        <w:widowControl w:val="0"/>
        <w:tabs>
          <w:tab w:val="left" w:pos="855"/>
        </w:tabs>
        <w:spacing w:after="0" w:line="240" w:lineRule="auto"/>
        <w:ind w:left="426" w:hanging="420"/>
        <w:jc w:val="both"/>
      </w:pPr>
      <w:r w:rsidRPr="00A01DAA">
        <w:rPr>
          <w:rFonts w:ascii="Times New Roman" w:hAnsi="Times New Roman"/>
          <w:sz w:val="24"/>
          <w:szCs w:val="24"/>
        </w:rPr>
        <w:t xml:space="preserve">(2) </w:t>
      </w:r>
      <w:r w:rsidRPr="00A01DA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számú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45EE7" w:rsidRDefault="00545EE7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0" w:name="_GoBack"/>
      <w:bookmarkEnd w:id="0"/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605E5F">
        <w:rPr>
          <w:rFonts w:ascii="Times New Roman" w:hAnsi="Times New Roman"/>
          <w:i/>
          <w:sz w:val="24"/>
          <w:szCs w:val="24"/>
        </w:rPr>
        <w:t>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487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079</w:t>
      </w:r>
      <w:r w:rsidR="00782301">
        <w:rPr>
          <w:rFonts w:ascii="Times New Roman" w:hAnsi="Times New Roman"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605E5F">
        <w:rPr>
          <w:rFonts w:ascii="Times New Roman" w:hAnsi="Times New Roman"/>
          <w:i/>
          <w:sz w:val="24"/>
          <w:szCs w:val="24"/>
        </w:rPr>
        <w:t>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789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790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i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spacing w:after="0" w:line="240" w:lineRule="auto"/>
        <w:ind w:left="705"/>
        <w:jc w:val="both"/>
        <w:rPr>
          <w:i/>
          <w:highlight w:val="yellow"/>
        </w:rPr>
      </w:pP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605E5F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476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472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605E5F">
        <w:rPr>
          <w:rFonts w:ascii="Times New Roman" w:hAnsi="Times New Roman"/>
          <w:i/>
          <w:sz w:val="24"/>
          <w:szCs w:val="24"/>
        </w:rPr>
        <w:t>3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147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353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782301" w:rsidRDefault="000156E8" w:rsidP="009E3E9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636" w:hanging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</w:t>
      </w:r>
      <w:r w:rsidR="00C4061E" w:rsidRPr="00782301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="00C4061E"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="00C4061E" w:rsidRPr="00782301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605E5F">
        <w:rPr>
          <w:rFonts w:ascii="Times New Roman" w:hAnsi="Times New Roman"/>
          <w:i/>
          <w:sz w:val="24"/>
          <w:szCs w:val="24"/>
        </w:rPr>
        <w:t>10</w:t>
      </w:r>
      <w:r w:rsidR="00C4061E"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607</w:t>
      </w:r>
      <w:r w:rsidR="00C4061E"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605E5F">
        <w:rPr>
          <w:rFonts w:ascii="Times New Roman" w:hAnsi="Times New Roman"/>
          <w:i/>
          <w:sz w:val="24"/>
          <w:szCs w:val="24"/>
        </w:rPr>
        <w:t>642</w:t>
      </w:r>
      <w:r w:rsidR="00C4061E" w:rsidRPr="00782301">
        <w:rPr>
          <w:rFonts w:ascii="Times New Roman" w:hAnsi="Times New Roman"/>
          <w:i/>
          <w:sz w:val="24"/>
          <w:szCs w:val="24"/>
        </w:rPr>
        <w:t>.</w:t>
      </w:r>
      <w:r w:rsidR="00605E5F">
        <w:rPr>
          <w:rFonts w:ascii="Times New Roman" w:hAnsi="Times New Roman"/>
          <w:i/>
          <w:sz w:val="24"/>
          <w:szCs w:val="24"/>
        </w:rPr>
        <w:t>437</w:t>
      </w:r>
      <w:r w:rsidR="00C4061E"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="00C4061E" w:rsidRPr="00782301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="00AD1E39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helyébe  a</w:t>
      </w:r>
      <w:proofErr w:type="gramEnd"/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048E6" w:rsidRDefault="002048E6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048E6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048E6" w:rsidRDefault="002048E6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142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142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2048E6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048E6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DF3B36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DF3B36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DF3B36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DF3B36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2048E6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DF3B36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DF3B36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DF3B36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DF3B36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Pr="00B64A51" w:rsidRDefault="005B45EE" w:rsidP="00C41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gramStart"/>
      <w:r w:rsidR="00E97C45" w:rsidRPr="00E97C45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E97C45" w:rsidRPr="00E97C45">
        <w:rPr>
          <w:rFonts w:ascii="Times New Roman" w:hAnsi="Times New Roman"/>
          <w:b/>
          <w:sz w:val="24"/>
          <w:szCs w:val="24"/>
        </w:rPr>
        <w:t xml:space="preserve"> jegyző jogkörében eljárva</w:t>
      </w: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E97C45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gramStart"/>
      <w:r w:rsidR="00E97C45" w:rsidRPr="00E97C45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E97C45" w:rsidRPr="00E97C45">
        <w:rPr>
          <w:rFonts w:ascii="Times New Roman" w:hAnsi="Times New Roman"/>
          <w:b/>
          <w:sz w:val="24"/>
          <w:szCs w:val="24"/>
        </w:rPr>
        <w:t xml:space="preserve"> Nagy Erika</w:t>
      </w: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E97C45" w:rsidRPr="00E97C45" w:rsidRDefault="00E97C45" w:rsidP="00E97C45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E97C45">
        <w:rPr>
          <w:rFonts w:ascii="Times New Roman" w:hAnsi="Times New Roman"/>
          <w:b/>
          <w:sz w:val="24"/>
          <w:szCs w:val="24"/>
        </w:rPr>
        <w:t>aljegyző</w:t>
      </w:r>
      <w:proofErr w:type="gramEnd"/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4218AB">
        <w:rPr>
          <w:rFonts w:ascii="Times New Roman" w:hAnsi="Times New Roman"/>
          <w:sz w:val="24"/>
          <w:szCs w:val="24"/>
        </w:rPr>
        <w:t>kihirdetése 2023</w:t>
      </w:r>
      <w:r w:rsidR="00AD371D" w:rsidRPr="00B64A51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B64A51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B64A51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97C45" w:rsidRPr="00E97C45" w:rsidRDefault="00E97C45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proofErr w:type="gramStart"/>
      <w:r w:rsidRPr="00E97C45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E97C45">
        <w:rPr>
          <w:rFonts w:ascii="Times New Roman" w:hAnsi="Times New Roman"/>
          <w:b/>
          <w:sz w:val="24"/>
          <w:szCs w:val="24"/>
        </w:rPr>
        <w:t xml:space="preserve"> jegyző jogkörében eljárva </w:t>
      </w:r>
    </w:p>
    <w:p w:rsidR="00E97C45" w:rsidRPr="00E97C45" w:rsidRDefault="00E97C45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 w:rsidRPr="00E97C4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E97C45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E97C45">
        <w:rPr>
          <w:rFonts w:ascii="Times New Roman" w:hAnsi="Times New Roman"/>
          <w:b/>
          <w:sz w:val="24"/>
          <w:szCs w:val="24"/>
        </w:rPr>
        <w:t xml:space="preserve"> Nagy Erika </w:t>
      </w:r>
    </w:p>
    <w:p w:rsidR="00E97C45" w:rsidRPr="00E97C45" w:rsidRDefault="00E97C45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E97C4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E97C45">
        <w:rPr>
          <w:rFonts w:ascii="Times New Roman" w:hAnsi="Times New Roman"/>
          <w:b/>
          <w:sz w:val="24"/>
          <w:szCs w:val="24"/>
        </w:rPr>
        <w:t>aljegyző</w:t>
      </w:r>
      <w:proofErr w:type="gramEnd"/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4218AB">
        <w:rPr>
          <w:rFonts w:ascii="Times New Roman" w:hAnsi="Times New Roman"/>
          <w:sz w:val="24"/>
          <w:szCs w:val="24"/>
        </w:rPr>
        <w:t>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4218AB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218AB">
        <w:rPr>
          <w:rFonts w:ascii="Times New Roman" w:hAnsi="Times New Roman"/>
          <w:sz w:val="24"/>
          <w:szCs w:val="24"/>
        </w:rPr>
        <w:t>15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B64A51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B64A5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4218AB">
        <w:rPr>
          <w:rFonts w:ascii="Times New Roman" w:hAnsi="Times New Roman"/>
          <w:sz w:val="24"/>
          <w:szCs w:val="24"/>
        </w:rPr>
        <w:t>2023</w:t>
      </w:r>
      <w:r w:rsidRPr="00B64A5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B64A51">
        <w:rPr>
          <w:rFonts w:ascii="Times New Roman" w:hAnsi="Times New Roman"/>
          <w:sz w:val="24"/>
          <w:szCs w:val="24"/>
        </w:rPr>
        <w:t>ának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B64A51"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138" w:rsidRDefault="00A77138">
      <w:pPr>
        <w:spacing w:after="0" w:line="240" w:lineRule="auto"/>
      </w:pPr>
      <w:r>
        <w:separator/>
      </w:r>
    </w:p>
  </w:endnote>
  <w:endnote w:type="continuationSeparator" w:id="0">
    <w:p w:rsidR="00A77138" w:rsidRDefault="00A7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45EE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138" w:rsidRDefault="00A7713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A77138" w:rsidRDefault="00A7713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8"/>
  </w:num>
  <w:num w:numId="4">
    <w:abstractNumId w:val="29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5"/>
  </w:num>
  <w:num w:numId="10">
    <w:abstractNumId w:val="23"/>
  </w:num>
  <w:num w:numId="11">
    <w:abstractNumId w:val="4"/>
  </w:num>
  <w:num w:numId="12">
    <w:abstractNumId w:val="27"/>
  </w:num>
  <w:num w:numId="13">
    <w:abstractNumId w:val="16"/>
  </w:num>
  <w:num w:numId="14">
    <w:abstractNumId w:val="31"/>
  </w:num>
  <w:num w:numId="15">
    <w:abstractNumId w:val="21"/>
  </w:num>
  <w:num w:numId="16">
    <w:abstractNumId w:val="18"/>
  </w:num>
  <w:num w:numId="17">
    <w:abstractNumId w:val="6"/>
  </w:num>
  <w:num w:numId="18">
    <w:abstractNumId w:val="0"/>
  </w:num>
  <w:num w:numId="19">
    <w:abstractNumId w:val="20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0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6"/>
  </w:num>
  <w:num w:numId="32">
    <w:abstractNumId w:val="5"/>
  </w:num>
  <w:num w:numId="3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56E8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C15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48E6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A39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45EE7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05E5F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3A6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2F53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1BC7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2301"/>
    <w:rsid w:val="00784DEE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3E94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2AC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77138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5724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25B7C"/>
    <w:rsid w:val="00B3040A"/>
    <w:rsid w:val="00B34813"/>
    <w:rsid w:val="00B44B99"/>
    <w:rsid w:val="00B46373"/>
    <w:rsid w:val="00B476B1"/>
    <w:rsid w:val="00B47A14"/>
    <w:rsid w:val="00B47E5D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29AF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1AE6"/>
    <w:rsid w:val="00C449F6"/>
    <w:rsid w:val="00C463CA"/>
    <w:rsid w:val="00C47ACA"/>
    <w:rsid w:val="00C51079"/>
    <w:rsid w:val="00C53783"/>
    <w:rsid w:val="00C53D44"/>
    <w:rsid w:val="00C5569C"/>
    <w:rsid w:val="00C5622A"/>
    <w:rsid w:val="00C648B5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D77D8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C3B35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3B36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C45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02E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CA94F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352A-4038-4578-9AE7-51F6EA33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911</Words>
  <Characters>6286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71</cp:revision>
  <cp:lastPrinted>2021-02-02T10:52:00Z</cp:lastPrinted>
  <dcterms:created xsi:type="dcterms:W3CDTF">2023-05-11T06:50:00Z</dcterms:created>
  <dcterms:modified xsi:type="dcterms:W3CDTF">2023-09-12T08:22:00Z</dcterms:modified>
</cp:coreProperties>
</file>